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0"/>
        </w:rPr>
        <w:t xml:space="preserve">Перспективы и риски спора в суде общей юрисдикции: Добровольное имущественное страхование транспортных средств и спецтехники: Страховщик хочет взыскать убытки с Причинителя вреда, застрахованного по ОСАГО, в связи с недостаточным размером выплаты, полученной от его страховщика</w:t>
      </w:r>
    </w:p>
    <w:p>
      <w:pPr>
        <w:pStyle w:val="0"/>
        <w:jc w:val="both"/>
      </w:pPr>
      <w:r>
        <w:rPr>
          <w:sz w:val="20"/>
        </w:rPr>
        <w:t xml:space="preserve">(КонсультантПлюс, 2023)</w:t>
      </w:r>
    </w:p>
    <w:p>
      <w:pPr>
        <w:pStyle w:val="0"/>
      </w:pPr>
      <w:r>
        <w:rPr>
          <w:sz w:val="20"/>
          <w:b w:val="on"/>
        </w:rPr>
        <w:t xml:space="preserve">Дата</w:t>
      </w:r>
    </w:p>
    <w:p>
      <w:pPr>
        <w:pStyle w:val="0"/>
        <w:jc w:val="both"/>
      </w:pPr>
      <w:r>
        <w:rPr>
          <w:sz w:val="20"/>
        </w:rPr>
        <w:t xml:space="preserve">24.05.2023</w:t>
      </w:r>
    </w:p>
    <w:p>
      <w:pPr>
        <w:pStyle w:val="0"/>
      </w:pPr>
      <w:r>
        <w:rPr>
          <w:sz w:val="20"/>
          <w:b w:val="on"/>
        </w:rPr>
        <w:t xml:space="preserve">Примечание к документу</w:t>
      </w: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0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0"/>
                <w:color w:val="392c69"/>
              </w:rPr>
              <w:t xml:space="preserve">КонсультантПлюс | Перспективы и риски спора в суде общей юрисдикции | </w:t>
            </w:r>
            <w:r>
              <w:rPr>
                <w:sz w:val="20"/>
                <w:color w:val="392c69"/>
                <w:b w:val="on"/>
              </w:rPr>
              <w:t xml:space="preserve">Актуально на 24.05.2023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460" w:line-rule="auto"/>
      </w:pPr>
      <w:r>
        <w:rPr>
          <w:sz w:val="36"/>
          <w:b w:val="on"/>
        </w:rPr>
        <w:t xml:space="preserve">Страховщик хочет взыскать убытки с Причинителя вреда, застрахованного по ОСАГО, в связи с недостаточным размером выплаты, полученной от его страховщика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80"/>
        <w:gridCol w:w="420"/>
        <w:gridCol w:w="9427"/>
        <w:gridCol w:w="180"/>
      </w:tblGrid>
      <w:tr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420" w:type="dxa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r>
              <w:drawing>
                <wp:inline distT="0" distB="0" distL="0" distR="0">
                  <wp:extent cx="152400" cy="1524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См. перечень всех ситуаций по </w:t>
            </w:r>
            <w:r>
              <w:rPr>
                <w:sz w:val="20"/>
              </w:rPr>
              <w:t xml:space="preserve">добровольному имущественному страхованию транспортных средств и спецтехники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260" w:line-rule="auto"/>
        <w:jc w:val="both"/>
      </w:pPr>
      <w:r>
        <w:rPr>
          <w:sz w:val="20"/>
        </w:rPr>
        <w:t xml:space="preserve">Применимые нормы: </w:t>
      </w:r>
      <w:r>
        <w:rPr>
          <w:sz w:val="20"/>
        </w:rPr>
        <w:t xml:space="preserve">ст. ст. 15</w:t>
      </w:r>
      <w:r>
        <w:rPr>
          <w:sz w:val="20"/>
        </w:rPr>
        <w:t xml:space="preserve">, </w:t>
      </w:r>
      <w:r>
        <w:rPr>
          <w:sz w:val="20"/>
        </w:rPr>
        <w:t xml:space="preserve">387</w:t>
      </w:r>
      <w:r>
        <w:rPr>
          <w:sz w:val="20"/>
        </w:rPr>
        <w:t xml:space="preserve">, </w:t>
      </w:r>
      <w:r>
        <w:rPr>
          <w:sz w:val="20"/>
        </w:rPr>
        <w:t xml:space="preserve">929</w:t>
      </w:r>
      <w:r>
        <w:rPr>
          <w:sz w:val="20"/>
        </w:rPr>
        <w:t xml:space="preserve">, </w:t>
      </w:r>
      <w:r>
        <w:rPr>
          <w:sz w:val="20"/>
        </w:rPr>
        <w:t xml:space="preserve">931</w:t>
      </w:r>
      <w:r>
        <w:rPr>
          <w:sz w:val="20"/>
        </w:rPr>
        <w:t xml:space="preserve">, </w:t>
      </w:r>
      <w:r>
        <w:rPr>
          <w:sz w:val="20"/>
        </w:rPr>
        <w:t xml:space="preserve">965</w:t>
      </w:r>
      <w:r>
        <w:rPr>
          <w:sz w:val="20"/>
        </w:rPr>
        <w:t xml:space="preserve">, </w:t>
      </w:r>
      <w:r>
        <w:rPr>
          <w:sz w:val="20"/>
        </w:rPr>
        <w:t xml:space="preserve">1064</w:t>
      </w:r>
      <w:r>
        <w:rPr>
          <w:sz w:val="20"/>
        </w:rPr>
        <w:t xml:space="preserve">, </w:t>
      </w:r>
      <w:r>
        <w:rPr>
          <w:sz w:val="20"/>
        </w:rPr>
        <w:t xml:space="preserve">1072</w:t>
      </w:r>
      <w:r>
        <w:rPr>
          <w:sz w:val="20"/>
        </w:rPr>
        <w:t xml:space="preserve">, </w:t>
      </w:r>
      <w:r>
        <w:rPr>
          <w:sz w:val="20"/>
        </w:rPr>
        <w:t xml:space="preserve">1079</w:t>
      </w:r>
      <w:r>
        <w:rPr>
          <w:sz w:val="20"/>
        </w:rPr>
        <w:t xml:space="preserve"> ГК РФ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80"/>
        <w:gridCol w:w="810"/>
        <w:gridCol w:w="9037"/>
        <w:gridCol w:w="180"/>
      </w:tblGrid>
      <w:tr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810" w:type="dxa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r>
              <w:drawing>
                <wp:inline distT="0" distB="0" distL="0" distR="0">
                  <wp:extent cx="400050" cy="4000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30"/>
                <w:b w:val="on"/>
              </w:rPr>
              <w:t xml:space="preserve">Ситуация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</w:pPr>
      <w:r>
        <w:rPr>
          <w:sz w:val="24"/>
          <w:b w:val="on"/>
        </w:rPr>
        <w:t xml:space="preserve">Фабула спора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Страховщик произвел выплату в пользу Страхователя (Потерпевшего) по договору добровольного страхования транспортного средства (КАСКО) и получил возмещение в порядке суброгации от Страховщика Причинителя вреда, застрахованного по ОСАГО. Сумма полученного возмещения не покрывает в полном объеме выплаты по КАСКО. Страховщик намерен взыскать убытки в виде соответствующей разницы с Причинителя вреда.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</w:pPr>
      <w:r>
        <w:rPr>
          <w:sz w:val="24"/>
          <w:b w:val="on"/>
        </w:rPr>
        <w:t xml:space="preserve">Требования Страховщика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О взыскании убытков в порядке суброгации</w:t>
      </w:r>
    </w:p>
    <w:p>
      <w:pPr>
        <w:pStyle w:val="0"/>
        <w:ind w:left="540"/>
        <w:jc w:val="both"/>
      </w:pPr>
      <w:r>
        <w:rPr>
          <w:sz w:val="20"/>
        </w:rPr>
      </w:r>
    </w:p>
    <w:p>
      <w:pPr>
        <w:pStyle w:val="0"/>
        <w:ind w:left="54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80"/>
        <w:gridCol w:w="810"/>
        <w:gridCol w:w="9037"/>
        <w:gridCol w:w="180"/>
      </w:tblGrid>
      <w:tr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810" w:type="dxa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r>
              <w:drawing>
                <wp:inline distT="0" distB="0" distL="0" distR="0">
                  <wp:extent cx="400050" cy="4000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30"/>
                <w:b w:val="on"/>
              </w:rPr>
              <w:t xml:space="preserve">Перспективы и риски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</w:pPr>
      <w:r>
        <w:rPr>
          <w:sz w:val="24"/>
          <w:b w:val="on"/>
        </w:rPr>
        <w:t xml:space="preserve">Убытки взыщут с большей долей вероятности, если Страховщик докажет:</w:t>
      </w:r>
    </w:p>
    <w:p>
      <w:pPr>
        <w:pStyle w:val="0"/>
        <w:spacing w:before="200" w:line-rule="auto"/>
        <w:ind w:firstLine="-227" w:left="540"/>
        <w:jc w:val="both"/>
        <w:numPr>
          <w:ilvl w:val="0"/>
          <w:numId w:val="1"/>
        </w:numPr>
      </w:pPr>
      <w:r>
        <w:rPr>
          <w:sz w:val="20"/>
        </w:rPr>
        <w:t xml:space="preserve">наличие действующего договора КАСКО со страховым риском "Ущерб" в момент наступления страхового случая (договором, полисом, квитанцией об уплате страховой премии и т.п.)</w:t>
      </w:r>
    </w:p>
    <w:p>
      <w:pPr>
        <w:pStyle w:val="0"/>
        <w:spacing w:before="200" w:line-rule="auto"/>
        <w:ind w:firstLine="-227" w:left="540"/>
        <w:jc w:val="both"/>
        <w:numPr>
          <w:ilvl w:val="0"/>
          <w:numId w:val="1"/>
        </w:numPr>
      </w:pPr>
      <w:r>
        <w:rPr>
          <w:sz w:val="20"/>
        </w:rPr>
        <w:t xml:space="preserve">факт наступления страхового случая по КАСКО (материалами дела об административном правонарушении, возбужденного в результате ДТП, актом осмотра ТС, заключением эксперта, извещением о ДТП и т.п.)</w:t>
      </w:r>
    </w:p>
    <w:p>
      <w:pPr>
        <w:pStyle w:val="0"/>
        <w:spacing w:before="200" w:line-rule="auto"/>
        <w:ind w:firstLine="-227" w:left="540"/>
        <w:jc w:val="both"/>
        <w:numPr>
          <w:ilvl w:val="0"/>
          <w:numId w:val="1"/>
        </w:numPr>
      </w:pPr>
      <w:r>
        <w:rPr>
          <w:sz w:val="20"/>
        </w:rPr>
        <w:t xml:space="preserve">факт наступления страхового случая по ОСАГО (материалами дела об административном правонарушении, возбужденного в результате ДТП, актом осмотра ТС, заключением эксперта, извещением о ДТП и т.п.)</w:t>
      </w:r>
    </w:p>
    <w:p>
      <w:pPr>
        <w:pStyle w:val="0"/>
        <w:spacing w:before="200" w:line-rule="auto"/>
        <w:ind w:firstLine="-227" w:left="540"/>
        <w:jc w:val="both"/>
        <w:numPr>
          <w:ilvl w:val="0"/>
          <w:numId w:val="1"/>
        </w:numPr>
      </w:pPr>
      <w:r>
        <w:rPr>
          <w:sz w:val="20"/>
        </w:rPr>
        <w:t xml:space="preserve">факт осуществления страхового возмещения Страхователю и его размер (платежным поручением, выплатным делом по страхованию и т.п.)</w:t>
      </w:r>
    </w:p>
    <w:p>
      <w:pPr>
        <w:pStyle w:val="0"/>
        <w:spacing w:before="200" w:line-rule="auto"/>
        <w:ind w:firstLine="-227" w:left="540"/>
        <w:jc w:val="both"/>
        <w:numPr>
          <w:ilvl w:val="0"/>
          <w:numId w:val="1"/>
        </w:numPr>
      </w:pPr>
      <w:r>
        <w:rPr>
          <w:sz w:val="20"/>
        </w:rPr>
        <w:t xml:space="preserve">размер полученной от страховщика Причинителя вреда выплаты в порядке суброгации (платежными документами и т.п.)</w:t>
      </w:r>
    </w:p>
    <w:p>
      <w:pPr>
        <w:pStyle w:val="0"/>
        <w:spacing w:before="200" w:line-rule="auto"/>
        <w:ind w:firstLine="-227" w:left="540"/>
        <w:jc w:val="both"/>
        <w:numPr>
          <w:ilvl w:val="0"/>
          <w:numId w:val="1"/>
        </w:numPr>
      </w:pPr>
      <w:r>
        <w:rPr>
          <w:sz w:val="20"/>
        </w:rPr>
        <w:t xml:space="preserve">наличие причинно-следственной связи между возникшими у Страховщика убытками и виновными действиями или бездействием Причинителя вреда (постановлением об административном правонарушении и т.п.)</w:t>
      </w:r>
    </w:p>
    <w:p>
      <w:pPr>
        <w:pStyle w:val="0"/>
        <w:spacing w:before="200" w:line-rule="auto"/>
        <w:ind w:firstLine="-227" w:left="540"/>
        <w:jc w:val="both"/>
        <w:numPr>
          <w:ilvl w:val="0"/>
          <w:numId w:val="1"/>
        </w:numPr>
      </w:pPr>
      <w:r>
        <w:rPr>
          <w:sz w:val="20"/>
        </w:rPr>
        <w:t xml:space="preserve">размер страхового возмещения - имущественного вреда, причиненного ТС Потерпевшего (документами страхового дела по КАСКО, платежными документами и т.п.)</w:t>
      </w:r>
    </w:p>
    <w:p>
      <w:pPr>
        <w:pStyle w:val="0"/>
        <w:spacing w:before="200" w:line-rule="auto"/>
        <w:ind w:firstLine="-227" w:left="540"/>
        <w:jc w:val="both"/>
        <w:numPr>
          <w:ilvl w:val="0"/>
          <w:numId w:val="1"/>
        </w:numPr>
      </w:pPr>
      <w:r>
        <w:rPr>
          <w:sz w:val="20"/>
        </w:rPr>
        <w:t xml:space="preserve">наличие и размер убытков в виде непокрытой разницы между выплаченным Страхователю (Потерпевшему) страховым возмещением и размером выплаты, полученной от Страховщика Причинителя вреда (документально подтвержденным расчетом, выпиской по банковскому счету, документами страхового дела по ОСАГО, подтверждающими выплату, и т.п.)</w:t>
      </w:r>
    </w:p>
    <w:p>
      <w:pPr>
        <w:spacing w:before="0"/>
        <w:spacing w:after="1"/>
      </w:pPr>
    </w:p>
    <w:tbl>
      <w:tblPr>
        <w:jc w:val="center"/>
        <w:tblInd w:w="0" w:type="dxa"/>
        <w:tblW w:w="10597" w:type="dxa"/>
        <w:tblBorders>
          <w:top w:val="single" w:sz="6"/>
          <w:left w:val="single" w:sz="6"/>
          <w:bottom w:val="single" w:sz="6"/>
          <w:right w:val="single" w:sz="6"/>
          <w:insideV w:val="single" w:sz="6"/>
          <w:insideH w:val="single" w:sz="6"/>
        </w:tblBorders>
      </w:tblPr>
      <w:tblGrid>
        <w:gridCol w:w="10597"/>
      </w:tblGrid>
      <w:tr>
        <w:tc>
          <w:tcPr>
            <w:tcW w:w="10597" w:type="dxa"/>
            <w:tcMar>
              <w:top w:w="195" w:type="dxa"/>
              <w:left w:w="195" w:type="dxa"/>
              <w:bottom w:w="195" w:type="dxa"/>
              <w:right w:w="195" w:type="dxa"/>
            </w:tcMar>
            <w:shd w:val="clear"/>
            <w:tcBorders>
              <w:top w:val="single" w:sz="6"/>
              <w:left w:val="single" w:sz="6"/>
              <w:bottom w:val="single" w:sz="6"/>
              <w:right w:val="single" w:sz="6"/>
            </w:tcBorders>
          </w:tcPr>
          <w:bookmarkStart w:id="33" w:name="P33"/>
          <w:bookmarkEnd w:id="33"/>
          <w:p>
            <w:pPr>
              <w:pStyle w:val="0"/>
              <w:jc w:val="both"/>
            </w:pPr>
            <w:r>
              <w:rPr>
                <w:sz w:val="20"/>
                <w:u w:val="single"/>
              </w:rPr>
              <w:t xml:space="preserve">Судебная практика в пользу Страховщика</w:t>
            </w:r>
          </w:p>
          <w:p>
            <w:pPr>
              <w:pStyle w:val="0"/>
              <w:spacing w:before="200" w:line-rule="auto"/>
              <w:jc w:val="both"/>
            </w:pPr>
            <w:r>
              <w:rPr>
                <w:sz w:val="20"/>
              </w:rPr>
              <w:t xml:space="preserve">Определение</w:t>
            </w:r>
            <w:r>
              <w:rPr>
                <w:sz w:val="20"/>
              </w:rPr>
              <w:t xml:space="preserve"> Шестого кассационного суда общей юрисдикции от 30.11.2022 по делу N 88-22990/2022, 2-87/2022</w:t>
            </w:r>
          </w:p>
          <w:p>
            <w:pPr>
              <w:pStyle w:val="0"/>
              <w:spacing w:before="200" w:line-rule="auto"/>
              <w:jc w:val="both"/>
            </w:pPr>
            <w:r>
              <w:rPr>
                <w:sz w:val="20"/>
              </w:rPr>
              <w:t xml:space="preserve">Определение</w:t>
            </w:r>
            <w:r>
              <w:rPr>
                <w:sz w:val="20"/>
              </w:rPr>
              <w:t xml:space="preserve"> Третьего кассационного суда общей юрисдикции от 03.03.2022 N 88-3825/2022 по делу N 2-20/2020-123</w:t>
            </w:r>
          </w:p>
          <w:p>
            <w:pPr>
              <w:pStyle w:val="0"/>
              <w:spacing w:before="200" w:line-rule="auto"/>
              <w:jc w:val="both"/>
            </w:pPr>
            <w:r>
              <w:rPr>
                <w:sz w:val="20"/>
              </w:rPr>
              <w:t xml:space="preserve">Определение</w:t>
            </w:r>
            <w:r>
              <w:rPr>
                <w:sz w:val="20"/>
              </w:rPr>
              <w:t xml:space="preserve"> Первого кассационного суда общей юрисдикции от 28.04.2021 N 88-8781/2021</w:t>
            </w:r>
          </w:p>
          <w:p>
            <w:pPr>
              <w:pStyle w:val="0"/>
              <w:spacing w:before="200" w:line-rule="auto"/>
              <w:jc w:val="both"/>
            </w:pPr>
            <w:r>
              <w:rPr>
                <w:sz w:val="20"/>
              </w:rPr>
              <w:t xml:space="preserve">Определение</w:t>
            </w:r>
            <w:r>
              <w:rPr>
                <w:sz w:val="20"/>
              </w:rPr>
              <w:t xml:space="preserve"> Первого кассационного суда общей юрисдикции от 18.03.2020 N 88-8916/2020</w:t>
            </w:r>
          </w:p>
          <w:p>
            <w:pPr>
              <w:pStyle w:val="0"/>
              <w:spacing w:before="200" w:line-rule="auto"/>
              <w:jc w:val="both"/>
            </w:pPr>
            <w:r>
              <w:rPr>
                <w:sz w:val="20"/>
              </w:rPr>
              <w:t xml:space="preserve">Определение</w:t>
            </w:r>
            <w:r>
              <w:rPr>
                <w:sz w:val="20"/>
              </w:rPr>
              <w:t xml:space="preserve"> Седьмого кассационного суда общей юрисдикции от 17.03.2020 N 88-4318/2020</w:t>
            </w:r>
          </w:p>
          <w:p>
            <w:pPr>
              <w:pStyle w:val="0"/>
              <w:spacing w:before="200" w:line-rule="auto"/>
              <w:jc w:val="both"/>
            </w:pPr>
            <w:r>
              <w:rPr>
                <w:sz w:val="20"/>
              </w:rPr>
              <w:t xml:space="preserve">Определение</w:t>
            </w:r>
            <w:r>
              <w:rPr>
                <w:sz w:val="20"/>
              </w:rPr>
              <w:t xml:space="preserve"> Девятого кассационного суда общей юрисдикции от 10.03.2020 N 88-1081/2020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</w:pPr>
      <w:r>
        <w:rPr>
          <w:sz w:val="24"/>
          <w:b w:val="on"/>
        </w:rPr>
        <w:t xml:space="preserve">Возможные причины частичного взыскания убытков</w:t>
      </w:r>
    </w:p>
    <w:p>
      <w:pPr>
        <w:pStyle w:val="0"/>
        <w:spacing w:before="200" w:line-rule="auto"/>
        <w:ind w:firstLine="-227" w:left="540"/>
        <w:jc w:val="both"/>
        <w:numPr>
          <w:ilvl w:val="0"/>
          <w:numId w:val="2"/>
        </w:numPr>
      </w:pPr>
      <w:r>
        <w:rPr>
          <w:sz w:val="20"/>
        </w:rPr>
        <w:t xml:space="preserve">Страховщиком не доказано наличие убытков в заявленном размере, так как судебной экспертизой установлен иной размер причиненных убытков</w:t>
      </w:r>
    </w:p>
    <w:p>
      <w:pPr>
        <w:spacing w:before="0"/>
        <w:spacing w:after="1"/>
      </w:pPr>
    </w:p>
    <w:tbl>
      <w:tblPr>
        <w:jc w:val="center"/>
        <w:tblInd w:w="0" w:type="dxa"/>
        <w:tblW w:w="10597" w:type="dxa"/>
        <w:tblBorders>
          <w:top w:val="single" w:sz="6"/>
          <w:left w:val="single" w:sz="6"/>
          <w:bottom w:val="single" w:sz="6"/>
          <w:right w:val="single" w:sz="6"/>
          <w:insideV w:val="single" w:sz="6"/>
          <w:insideH w:val="single" w:sz="6"/>
        </w:tblBorders>
      </w:tblPr>
      <w:tblGrid>
        <w:gridCol w:w="10597"/>
      </w:tblGrid>
      <w:tr>
        <w:tc>
          <w:tcPr>
            <w:tcW w:w="10597" w:type="dxa"/>
            <w:tcMar>
              <w:top w:w="195" w:type="dxa"/>
              <w:left w:w="195" w:type="dxa"/>
              <w:bottom w:w="195" w:type="dxa"/>
              <w:right w:w="195" w:type="dxa"/>
            </w:tcMar>
            <w:shd w:val="clear"/>
            <w:tcBorders>
              <w:top w:val="single" w:sz="6"/>
              <w:left w:val="single" w:sz="6"/>
              <w:bottom w:val="single" w:sz="6"/>
              <w:right w:val="single" w:sz="6"/>
            </w:tcBorders>
          </w:tcPr>
          <w:bookmarkStart w:id="43" w:name="P43"/>
          <w:bookmarkEnd w:id="43"/>
          <w:p>
            <w:pPr>
              <w:pStyle w:val="0"/>
              <w:ind w:left="540"/>
              <w:jc w:val="both"/>
            </w:pPr>
            <w:r>
              <w:rPr>
                <w:sz w:val="20"/>
                <w:u w:val="single"/>
              </w:rPr>
              <w:t xml:space="preserve">Судебная практика</w:t>
            </w:r>
          </w:p>
          <w:p>
            <w:pPr>
              <w:pStyle w:val="0"/>
              <w:spacing w:before="200" w:line-rule="auto"/>
              <w:ind w:left="540"/>
              <w:jc w:val="both"/>
            </w:pPr>
            <w:r>
              <w:rPr>
                <w:sz w:val="20"/>
              </w:rPr>
              <w:t xml:space="preserve">Определение</w:t>
            </w:r>
            <w:r>
              <w:rPr>
                <w:sz w:val="20"/>
              </w:rPr>
              <w:t xml:space="preserve"> Первого кассационного суда общей юрисдикции от 08.09.2022 по делу N 88-21242/2022</w:t>
            </w:r>
          </w:p>
          <w:p>
            <w:pPr>
              <w:pStyle w:val="0"/>
              <w:spacing w:before="200" w:line-rule="auto"/>
              <w:ind w:left="540"/>
              <w:jc w:val="both"/>
            </w:pPr>
            <w:r>
              <w:rPr>
                <w:sz w:val="20"/>
              </w:rPr>
              <w:t xml:space="preserve">Определение</w:t>
            </w:r>
            <w:r>
              <w:rPr>
                <w:sz w:val="20"/>
              </w:rPr>
              <w:t xml:space="preserve"> Шестого кассационного суда общей юрисдикции от 26.05.2021 по делу N 88-9819/2021</w:t>
            </w:r>
          </w:p>
          <w:p>
            <w:pPr>
              <w:pStyle w:val="0"/>
              <w:spacing w:before="200" w:line-rule="auto"/>
              <w:ind w:left="540"/>
              <w:jc w:val="both"/>
            </w:pPr>
            <w:r>
              <w:rPr>
                <w:sz w:val="20"/>
              </w:rPr>
              <w:t xml:space="preserve">Определение</w:t>
            </w:r>
            <w:r>
              <w:rPr>
                <w:sz w:val="20"/>
              </w:rPr>
              <w:t xml:space="preserve"> Седьмого кассационного суда общей юрисдикции от 23.06.2020 N 88-5626/2020</w:t>
            </w:r>
          </w:p>
          <w:p>
            <w:pPr>
              <w:pStyle w:val="0"/>
              <w:spacing w:before="200" w:line-rule="auto"/>
              <w:ind w:left="540"/>
              <w:jc w:val="both"/>
            </w:pPr>
            <w:r>
              <w:rPr>
                <w:sz w:val="20"/>
              </w:rPr>
              <w:t xml:space="preserve">Определение</w:t>
            </w:r>
            <w:r>
              <w:rPr>
                <w:sz w:val="20"/>
              </w:rPr>
              <w:t xml:space="preserve"> Третьего кассационного суда общей юрисдикции от 02.03.2020 N 88-3248/2020 по делу N 2-203/2019</w:t>
            </w:r>
          </w:p>
        </w:tc>
      </w:tr>
    </w:tbl>
    <w:p>
      <w:pPr>
        <w:pStyle w:val="0"/>
        <w:spacing w:before="200" w:line-rule="auto"/>
        <w:ind w:firstLine="-227" w:left="540"/>
        <w:jc w:val="both"/>
        <w:numPr>
          <w:ilvl w:val="0"/>
          <w:numId w:val="3"/>
        </w:numPr>
      </w:pPr>
      <w:r>
        <w:rPr>
          <w:sz w:val="20"/>
        </w:rPr>
        <w:t xml:space="preserve">Причинителем вреда доказана обоюдность вины участников ДТП</w:t>
      </w:r>
    </w:p>
    <w:p>
      <w:pPr>
        <w:spacing w:before="0"/>
        <w:spacing w:after="1"/>
      </w:pPr>
    </w:p>
    <w:tbl>
      <w:tblPr>
        <w:jc w:val="center"/>
        <w:tblInd w:w="0" w:type="dxa"/>
        <w:tblW w:w="10597" w:type="dxa"/>
        <w:tblBorders>
          <w:top w:val="single" w:sz="6"/>
          <w:left w:val="single" w:sz="6"/>
          <w:bottom w:val="single" w:sz="6"/>
          <w:right w:val="single" w:sz="6"/>
          <w:insideV w:val="single" w:sz="6"/>
          <w:insideH w:val="single" w:sz="6"/>
        </w:tblBorders>
      </w:tblPr>
      <w:tblGrid>
        <w:gridCol w:w="10597"/>
      </w:tblGrid>
      <w:tr>
        <w:tc>
          <w:tcPr>
            <w:tcW w:w="10597" w:type="dxa"/>
            <w:tcMar>
              <w:top w:w="195" w:type="dxa"/>
              <w:left w:w="195" w:type="dxa"/>
              <w:bottom w:w="195" w:type="dxa"/>
              <w:right w:w="195" w:type="dxa"/>
            </w:tcMar>
            <w:shd w:val="clear"/>
            <w:tcBorders>
              <w:top w:val="single" w:sz="6"/>
              <w:left w:val="single" w:sz="6"/>
              <w:bottom w:val="single" w:sz="6"/>
              <w:right w:val="single" w:sz="6"/>
            </w:tcBorders>
          </w:tcPr>
          <w:bookmarkStart w:id="49" w:name="P49"/>
          <w:bookmarkEnd w:id="49"/>
          <w:p>
            <w:pPr>
              <w:pStyle w:val="0"/>
              <w:ind w:left="540"/>
              <w:jc w:val="both"/>
            </w:pPr>
            <w:r>
              <w:rPr>
                <w:sz w:val="20"/>
                <w:u w:val="single"/>
              </w:rPr>
              <w:t xml:space="preserve">Судебная практика</w:t>
            </w:r>
          </w:p>
          <w:p>
            <w:pPr>
              <w:pStyle w:val="0"/>
              <w:spacing w:before="200" w:line-rule="auto"/>
              <w:ind w:left="540"/>
              <w:jc w:val="both"/>
            </w:pPr>
            <w:r>
              <w:rPr>
                <w:sz w:val="20"/>
              </w:rPr>
              <w:t xml:space="preserve">Апелляционное </w:t>
            </w:r>
            <w:r>
              <w:rPr>
                <w:sz w:val="20"/>
              </w:rPr>
              <w:t xml:space="preserve">определение</w:t>
            </w:r>
            <w:r>
              <w:rPr>
                <w:sz w:val="20"/>
              </w:rPr>
              <w:t xml:space="preserve"> Санкт-Петербургского городского суда от 06.12.2017 N 33-25055/2017 по делу N 2-1325/2017</w:t>
            </w:r>
          </w:p>
        </w:tc>
      </w:tr>
    </w:tbl>
    <w:p>
      <w:pPr>
        <w:pStyle w:val="0"/>
        <w:spacing w:before="200" w:line-rule="auto"/>
        <w:ind w:firstLine="-227" w:left="540"/>
        <w:jc w:val="both"/>
        <w:numPr>
          <w:ilvl w:val="0"/>
          <w:numId w:val="4"/>
        </w:numPr>
      </w:pPr>
      <w:r>
        <w:rPr>
          <w:sz w:val="20"/>
        </w:rPr>
        <w:t xml:space="preserve">Страховщиком не представлены документы, подтверждающие размер ущерба, причиненного ТС Потерпевшего</w:t>
      </w:r>
    </w:p>
    <w:p>
      <w:pPr>
        <w:spacing w:before="0"/>
        <w:spacing w:after="1"/>
      </w:pPr>
    </w:p>
    <w:tbl>
      <w:tblPr>
        <w:jc w:val="center"/>
        <w:tblInd w:w="0" w:type="dxa"/>
        <w:tblW w:w="10597" w:type="dxa"/>
        <w:tblBorders>
          <w:top w:val="single" w:sz="6"/>
          <w:left w:val="single" w:sz="6"/>
          <w:bottom w:val="single" w:sz="6"/>
          <w:right w:val="single" w:sz="6"/>
          <w:insideV w:val="single" w:sz="6"/>
          <w:insideH w:val="single" w:sz="6"/>
        </w:tblBorders>
      </w:tblPr>
      <w:tblGrid>
        <w:gridCol w:w="10597"/>
      </w:tblGrid>
      <w:tr>
        <w:tc>
          <w:tcPr>
            <w:tcW w:w="10597" w:type="dxa"/>
            <w:tcMar>
              <w:top w:w="195" w:type="dxa"/>
              <w:left w:w="195" w:type="dxa"/>
              <w:bottom w:w="195" w:type="dxa"/>
              <w:right w:w="195" w:type="dxa"/>
            </w:tcMar>
            <w:shd w:val="clear"/>
            <w:tcBorders>
              <w:top w:val="single" w:sz="6"/>
              <w:left w:val="single" w:sz="6"/>
              <w:bottom w:val="single" w:sz="6"/>
              <w:right w:val="single" w:sz="6"/>
            </w:tcBorders>
          </w:tcPr>
          <w:bookmarkStart w:id="52" w:name="P52"/>
          <w:bookmarkEnd w:id="52"/>
          <w:p>
            <w:pPr>
              <w:pStyle w:val="0"/>
              <w:ind w:left="540"/>
              <w:jc w:val="both"/>
            </w:pPr>
            <w:r>
              <w:rPr>
                <w:sz w:val="20"/>
                <w:u w:val="single"/>
              </w:rPr>
              <w:t xml:space="preserve">Судебная практика</w:t>
            </w:r>
          </w:p>
          <w:p>
            <w:pPr>
              <w:pStyle w:val="0"/>
              <w:spacing w:before="200" w:line-rule="auto"/>
              <w:ind w:left="540"/>
              <w:jc w:val="both"/>
            </w:pPr>
            <w:r>
              <w:rPr>
                <w:sz w:val="20"/>
              </w:rPr>
              <w:t xml:space="preserve">Апелляционное </w:t>
            </w:r>
            <w:r>
              <w:rPr>
                <w:sz w:val="20"/>
              </w:rPr>
              <w:t xml:space="preserve">определение</w:t>
            </w:r>
            <w:r>
              <w:rPr>
                <w:sz w:val="20"/>
              </w:rPr>
              <w:t xml:space="preserve"> Московского городского суда от 20.09.2019 по делу N 33-40352/2019</w:t>
            </w:r>
          </w:p>
        </w:tc>
      </w:tr>
    </w:tbl>
    <w:p>
      <w:pPr>
        <w:pStyle w:val="0"/>
        <w:spacing w:before="200" w:line-rule="auto"/>
        <w:ind w:firstLine="-227" w:left="540"/>
        <w:jc w:val="both"/>
        <w:numPr>
          <w:ilvl w:val="0"/>
          <w:numId w:val="4"/>
        </w:numPr>
      </w:pPr>
      <w:r>
        <w:rPr>
          <w:sz w:val="20"/>
        </w:rPr>
        <w:t xml:space="preserve">Судом взысканы убытки в пределах стоимости принятого наследственного имущества с наследников в связи с гибелью Причинителя вреда в ДТП</w:t>
      </w:r>
    </w:p>
    <w:p>
      <w:pPr>
        <w:spacing w:before="0"/>
        <w:spacing w:after="1"/>
      </w:pPr>
    </w:p>
    <w:tbl>
      <w:tblPr>
        <w:jc w:val="center"/>
        <w:tblInd w:w="0" w:type="dxa"/>
        <w:tblW w:w="10597" w:type="dxa"/>
        <w:tblBorders>
          <w:top w:val="single" w:sz="6"/>
          <w:left w:val="single" w:sz="6"/>
          <w:bottom w:val="single" w:sz="6"/>
          <w:right w:val="single" w:sz="6"/>
          <w:insideV w:val="single" w:sz="6"/>
          <w:insideH w:val="single" w:sz="6"/>
        </w:tblBorders>
      </w:tblPr>
      <w:tblGrid>
        <w:gridCol w:w="10597"/>
      </w:tblGrid>
      <w:tr>
        <w:tc>
          <w:tcPr>
            <w:tcW w:w="10597" w:type="dxa"/>
            <w:tcMar>
              <w:top w:w="195" w:type="dxa"/>
              <w:left w:w="195" w:type="dxa"/>
              <w:bottom w:w="195" w:type="dxa"/>
              <w:right w:w="195" w:type="dxa"/>
            </w:tcMar>
            <w:shd w:val="clear"/>
            <w:tcBorders>
              <w:top w:val="single" w:sz="6"/>
              <w:left w:val="single" w:sz="6"/>
              <w:bottom w:val="single" w:sz="6"/>
              <w:right w:val="single" w:sz="6"/>
            </w:tcBorders>
          </w:tcPr>
          <w:bookmarkStart w:id="55" w:name="P55"/>
          <w:bookmarkEnd w:id="55"/>
          <w:p>
            <w:pPr>
              <w:pStyle w:val="0"/>
              <w:ind w:left="540"/>
              <w:jc w:val="both"/>
            </w:pPr>
            <w:r>
              <w:rPr>
                <w:sz w:val="20"/>
                <w:u w:val="single"/>
              </w:rPr>
              <w:t xml:space="preserve">Судебная практика</w:t>
            </w:r>
          </w:p>
          <w:p>
            <w:pPr>
              <w:pStyle w:val="0"/>
              <w:spacing w:before="200" w:line-rule="auto"/>
              <w:ind w:left="540"/>
              <w:jc w:val="both"/>
            </w:pPr>
            <w:r>
              <w:rPr>
                <w:sz w:val="20"/>
              </w:rPr>
              <w:t xml:space="preserve">Определение</w:t>
            </w:r>
            <w:r>
              <w:rPr>
                <w:sz w:val="20"/>
              </w:rPr>
              <w:t xml:space="preserve"> Шестого кассационного суда общей юрисдикции от 18.03.2020 по делу N 88-6174/2020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</w:pPr>
      <w:r>
        <w:rPr>
          <w:sz w:val="24"/>
          <w:b w:val="on"/>
        </w:rPr>
        <w:t xml:space="preserve">Возможные причины отказа во взыскании убытков</w:t>
      </w:r>
    </w:p>
    <w:p>
      <w:pPr>
        <w:pStyle w:val="0"/>
        <w:spacing w:before="200" w:line-rule="auto"/>
        <w:ind w:firstLine="-227" w:left="540"/>
        <w:jc w:val="both"/>
        <w:numPr>
          <w:ilvl w:val="0"/>
          <w:numId w:val="5"/>
        </w:numPr>
      </w:pPr>
      <w:r>
        <w:rPr>
          <w:sz w:val="20"/>
        </w:rPr>
        <w:t xml:space="preserve">Страховщиком не доказано наличие убытков, так как Причинителем вреда представлен договор не только ОСАГО, но и добровольного страхования ответственности (ДСАГО), страховая сумма по которому полностью покрывает причиненный ущерб</w:t>
      </w:r>
    </w:p>
    <w:p>
      <w:pPr>
        <w:spacing w:before="0"/>
        <w:spacing w:after="1"/>
      </w:pPr>
    </w:p>
    <w:tbl>
      <w:tblPr>
        <w:jc w:val="center"/>
        <w:tblInd w:w="0" w:type="dxa"/>
        <w:tblW w:w="10597" w:type="dxa"/>
        <w:tblBorders>
          <w:top w:val="single" w:sz="6"/>
          <w:left w:val="single" w:sz="6"/>
          <w:bottom w:val="single" w:sz="6"/>
          <w:right w:val="single" w:sz="6"/>
          <w:insideV w:val="single" w:sz="6"/>
          <w:insideH w:val="single" w:sz="6"/>
        </w:tblBorders>
      </w:tblPr>
      <w:tblGrid>
        <w:gridCol w:w="10597"/>
      </w:tblGrid>
      <w:tr>
        <w:tc>
          <w:tcPr>
            <w:tcW w:w="10597" w:type="dxa"/>
            <w:tcMar>
              <w:top w:w="195" w:type="dxa"/>
              <w:left w:w="195" w:type="dxa"/>
              <w:bottom w:w="195" w:type="dxa"/>
              <w:right w:w="195" w:type="dxa"/>
            </w:tcMar>
            <w:shd w:val="clear"/>
            <w:tcBorders>
              <w:top w:val="single" w:sz="6"/>
              <w:left w:val="single" w:sz="6"/>
              <w:bottom w:val="single" w:sz="6"/>
              <w:right w:val="single" w:sz="6"/>
            </w:tcBorders>
          </w:tcPr>
          <w:bookmarkStart w:id="60" w:name="P60"/>
          <w:bookmarkEnd w:id="60"/>
          <w:p>
            <w:pPr>
              <w:pStyle w:val="0"/>
              <w:ind w:left="540"/>
              <w:jc w:val="both"/>
            </w:pPr>
            <w:r>
              <w:rPr>
                <w:sz w:val="20"/>
                <w:u w:val="single"/>
              </w:rPr>
              <w:t xml:space="preserve">Судебная практика в пользу Причинителя вреда</w:t>
            </w:r>
          </w:p>
          <w:p>
            <w:pPr>
              <w:pStyle w:val="0"/>
              <w:spacing w:before="200" w:line-rule="auto"/>
              <w:ind w:left="540"/>
              <w:jc w:val="both"/>
            </w:pPr>
            <w:r>
              <w:rPr>
                <w:sz w:val="20"/>
              </w:rPr>
              <w:t xml:space="preserve">Апелляционное </w:t>
            </w:r>
            <w:r>
              <w:rPr>
                <w:sz w:val="20"/>
              </w:rPr>
              <w:t xml:space="preserve">определение</w:t>
            </w:r>
            <w:r>
              <w:rPr>
                <w:sz w:val="20"/>
              </w:rPr>
              <w:t xml:space="preserve"> Санкт-Петербургского городского суда от 04.06.2019 N 33-4766/2019 по делу N 2-2409/2016</w:t>
            </w:r>
          </w:p>
          <w:p>
            <w:pPr>
              <w:pStyle w:val="0"/>
              <w:spacing w:before="200" w:line-rule="auto"/>
              <w:ind w:left="540"/>
              <w:jc w:val="both"/>
            </w:pPr>
            <w:r>
              <w:rPr>
                <w:sz w:val="20"/>
              </w:rPr>
              <w:t xml:space="preserve">Апелляционное </w:t>
            </w:r>
            <w:r>
              <w:rPr>
                <w:sz w:val="20"/>
              </w:rPr>
              <w:t xml:space="preserve">определение</w:t>
            </w:r>
            <w:r>
              <w:rPr>
                <w:sz w:val="20"/>
              </w:rPr>
              <w:t xml:space="preserve"> Санкт-Петербургского городского суда от 27.06.2018 N 33-10388/2018 по делу N 2-7469/2017</w:t>
            </w:r>
          </w:p>
        </w:tc>
      </w:tr>
    </w:tbl>
    <w:p>
      <w:pPr>
        <w:pStyle w:val="0"/>
        <w:spacing w:before="200" w:line-rule="auto"/>
        <w:ind w:firstLine="-227" w:left="540"/>
        <w:jc w:val="both"/>
        <w:numPr>
          <w:ilvl w:val="0"/>
          <w:numId w:val="6"/>
        </w:numPr>
      </w:pPr>
      <w:r>
        <w:rPr>
          <w:sz w:val="20"/>
        </w:rPr>
        <w:t xml:space="preserve">Причинителем вреда доказано, что он является ненадлежащим ответчиком, так как стал участником ДТП при исполнении должностных обязанностей, находясь в трудовых отношениях с работодателем - надлежащим ответчиком</w:t>
      </w:r>
    </w:p>
    <w:p>
      <w:pPr>
        <w:spacing w:before="0"/>
        <w:spacing w:after="1"/>
      </w:pPr>
    </w:p>
    <w:tbl>
      <w:tblPr>
        <w:jc w:val="center"/>
        <w:tblInd w:w="0" w:type="dxa"/>
        <w:tblW w:w="10597" w:type="dxa"/>
        <w:tblBorders>
          <w:top w:val="single" w:sz="6"/>
          <w:left w:val="single" w:sz="6"/>
          <w:bottom w:val="single" w:sz="6"/>
          <w:right w:val="single" w:sz="6"/>
          <w:insideV w:val="single" w:sz="6"/>
          <w:insideH w:val="single" w:sz="6"/>
        </w:tblBorders>
      </w:tblPr>
      <w:tblGrid>
        <w:gridCol w:w="10597"/>
      </w:tblGrid>
      <w:tr>
        <w:tc>
          <w:tcPr>
            <w:tcW w:w="10597" w:type="dxa"/>
            <w:tcMar>
              <w:top w:w="195" w:type="dxa"/>
              <w:left w:w="195" w:type="dxa"/>
              <w:bottom w:w="195" w:type="dxa"/>
              <w:right w:w="195" w:type="dxa"/>
            </w:tcMar>
            <w:shd w:val="clear"/>
            <w:tcBorders>
              <w:top w:val="single" w:sz="6"/>
              <w:left w:val="single" w:sz="6"/>
              <w:bottom w:val="single" w:sz="6"/>
              <w:right w:val="single" w:sz="6"/>
            </w:tcBorders>
          </w:tcPr>
          <w:bookmarkStart w:id="64" w:name="P64"/>
          <w:bookmarkEnd w:id="64"/>
          <w:p>
            <w:pPr>
              <w:pStyle w:val="0"/>
              <w:ind w:left="540"/>
              <w:jc w:val="both"/>
            </w:pPr>
            <w:r>
              <w:rPr>
                <w:sz w:val="20"/>
                <w:u w:val="single"/>
              </w:rPr>
              <w:t xml:space="preserve">Судебная практика в пользу Причинителя вреда</w:t>
            </w:r>
          </w:p>
          <w:p>
            <w:pPr>
              <w:pStyle w:val="0"/>
              <w:spacing w:before="200" w:line-rule="auto"/>
              <w:ind w:left="540"/>
              <w:jc w:val="both"/>
            </w:pPr>
            <w:r>
              <w:rPr>
                <w:sz w:val="20"/>
              </w:rPr>
              <w:t xml:space="preserve">Апелляционное </w:t>
            </w:r>
            <w:r>
              <w:rPr>
                <w:sz w:val="20"/>
              </w:rPr>
              <w:t xml:space="preserve">определение</w:t>
            </w:r>
            <w:r>
              <w:rPr>
                <w:sz w:val="20"/>
              </w:rPr>
              <w:t xml:space="preserve"> Санкт-Петербургского городского суда от 12.02.2019 N 33-2054/2019 по делу N 2-1762/2018</w:t>
            </w:r>
          </w:p>
          <w:p>
            <w:pPr>
              <w:pStyle w:val="0"/>
              <w:spacing w:before="200" w:line-rule="auto"/>
              <w:ind w:left="540"/>
              <w:jc w:val="both"/>
            </w:pPr>
            <w:r>
              <w:rPr>
                <w:sz w:val="20"/>
              </w:rPr>
              <w:t xml:space="preserve">Апелляционное </w:t>
            </w:r>
            <w:r>
              <w:rPr>
                <w:sz w:val="20"/>
              </w:rPr>
              <w:t xml:space="preserve">определение</w:t>
            </w:r>
            <w:r>
              <w:rPr>
                <w:sz w:val="20"/>
              </w:rPr>
              <w:t xml:space="preserve"> Санкт-Петербургского городского суда от 17.05.2018 N 33-8414/2018</w:t>
            </w:r>
          </w:p>
        </w:tc>
      </w:tr>
    </w:tbl>
    <w:p>
      <w:pPr>
        <w:pStyle w:val="0"/>
        <w:spacing w:before="200" w:line-rule="auto"/>
        <w:ind w:firstLine="-227" w:left="540"/>
        <w:jc w:val="both"/>
        <w:numPr>
          <w:ilvl w:val="0"/>
          <w:numId w:val="7"/>
        </w:numPr>
      </w:pPr>
      <w:r>
        <w:rPr>
          <w:sz w:val="20"/>
        </w:rPr>
        <w:t xml:space="preserve">Страховщиком Потерпевшего не доказано наличие причинно-следственной связи между спорной частью убытков и виновными действиями Причинителя вреда</w:t>
      </w:r>
    </w:p>
    <w:p>
      <w:pPr>
        <w:spacing w:before="0"/>
        <w:spacing w:after="1"/>
      </w:pPr>
    </w:p>
    <w:tbl>
      <w:tblPr>
        <w:jc w:val="center"/>
        <w:tblInd w:w="0" w:type="dxa"/>
        <w:tblW w:w="10597" w:type="dxa"/>
        <w:tblBorders>
          <w:top w:val="single" w:sz="6"/>
          <w:left w:val="single" w:sz="6"/>
          <w:bottom w:val="single" w:sz="6"/>
          <w:right w:val="single" w:sz="6"/>
          <w:insideV w:val="single" w:sz="6"/>
          <w:insideH w:val="single" w:sz="6"/>
        </w:tblBorders>
      </w:tblPr>
      <w:tblGrid>
        <w:gridCol w:w="10597"/>
      </w:tblGrid>
      <w:tr>
        <w:tc>
          <w:tcPr>
            <w:tcW w:w="10597" w:type="dxa"/>
            <w:tcMar>
              <w:top w:w="195" w:type="dxa"/>
              <w:left w:w="195" w:type="dxa"/>
              <w:bottom w:w="195" w:type="dxa"/>
              <w:right w:w="195" w:type="dxa"/>
            </w:tcMar>
            <w:shd w:val="clear"/>
            <w:tcBorders>
              <w:top w:val="single" w:sz="6"/>
              <w:left w:val="single" w:sz="6"/>
              <w:bottom w:val="single" w:sz="6"/>
              <w:right w:val="single" w:sz="6"/>
            </w:tcBorders>
          </w:tcPr>
          <w:bookmarkStart w:id="68" w:name="P68"/>
          <w:bookmarkEnd w:id="68"/>
          <w:p>
            <w:pPr>
              <w:pStyle w:val="0"/>
              <w:ind w:left="540"/>
              <w:jc w:val="both"/>
            </w:pPr>
            <w:r>
              <w:rPr>
                <w:sz w:val="20"/>
                <w:u w:val="single"/>
              </w:rPr>
              <w:t xml:space="preserve">Судебная практика в пользу Причинителя вреда</w:t>
            </w:r>
          </w:p>
          <w:p>
            <w:pPr>
              <w:pStyle w:val="0"/>
              <w:spacing w:before="200" w:line-rule="auto"/>
              <w:ind w:left="540"/>
              <w:jc w:val="both"/>
            </w:pPr>
            <w:r>
              <w:rPr>
                <w:sz w:val="20"/>
              </w:rPr>
              <w:t xml:space="preserve">Апелляционное </w:t>
            </w:r>
            <w:r>
              <w:rPr>
                <w:sz w:val="20"/>
              </w:rPr>
              <w:t xml:space="preserve">определение</w:t>
            </w:r>
            <w:r>
              <w:rPr>
                <w:sz w:val="20"/>
              </w:rPr>
              <w:t xml:space="preserve"> Санкт-Петербургского городского суда от 24.04.2018 N 33-157/2018</w:t>
            </w:r>
          </w:p>
        </w:tc>
      </w:tr>
    </w:tbl>
    <w:p>
      <w:pPr>
        <w:pStyle w:val="0"/>
        <w:spacing w:before="200" w:line-rule="auto"/>
        <w:ind w:firstLine="-227" w:left="540"/>
        <w:jc w:val="both"/>
        <w:numPr>
          <w:ilvl w:val="0"/>
          <w:numId w:val="8"/>
        </w:numPr>
      </w:pPr>
      <w:r>
        <w:rPr>
          <w:sz w:val="20"/>
        </w:rPr>
        <w:t xml:space="preserve">Страховщиком не доказан факт наступления страхового случая по ОСАГО, в т.ч. вина Причинителя вреда в случившемся ДТП</w:t>
      </w:r>
    </w:p>
    <w:p>
      <w:pPr>
        <w:spacing w:before="0"/>
        <w:spacing w:after="1"/>
      </w:pPr>
    </w:p>
    <w:tbl>
      <w:tblPr>
        <w:jc w:val="center"/>
        <w:tblInd w:w="0" w:type="dxa"/>
        <w:tblW w:w="10597" w:type="dxa"/>
        <w:tblBorders>
          <w:top w:val="single" w:sz="6"/>
          <w:left w:val="single" w:sz="6"/>
          <w:bottom w:val="single" w:sz="6"/>
          <w:right w:val="single" w:sz="6"/>
          <w:insideV w:val="single" w:sz="6"/>
          <w:insideH w:val="single" w:sz="6"/>
        </w:tblBorders>
      </w:tblPr>
      <w:tblGrid>
        <w:gridCol w:w="10597"/>
      </w:tblGrid>
      <w:tr>
        <w:tc>
          <w:tcPr>
            <w:tcW w:w="10597" w:type="dxa"/>
            <w:tcMar>
              <w:top w:w="195" w:type="dxa"/>
              <w:left w:w="195" w:type="dxa"/>
              <w:bottom w:w="195" w:type="dxa"/>
              <w:right w:w="195" w:type="dxa"/>
            </w:tcMar>
            <w:shd w:val="clear"/>
            <w:tcBorders>
              <w:top w:val="single" w:sz="6"/>
              <w:left w:val="single" w:sz="6"/>
              <w:bottom w:val="single" w:sz="6"/>
              <w:right w:val="single" w:sz="6"/>
            </w:tcBorders>
          </w:tcPr>
          <w:bookmarkStart w:id="71" w:name="P71"/>
          <w:bookmarkEnd w:id="71"/>
          <w:p>
            <w:pPr>
              <w:pStyle w:val="0"/>
              <w:ind w:left="540"/>
              <w:jc w:val="both"/>
            </w:pPr>
            <w:r>
              <w:rPr>
                <w:sz w:val="20"/>
                <w:u w:val="single"/>
              </w:rPr>
              <w:t xml:space="preserve">Судебная практика в пользу Причинителя вреда</w:t>
            </w:r>
          </w:p>
          <w:p>
            <w:pPr>
              <w:pStyle w:val="0"/>
              <w:spacing w:before="200" w:line-rule="auto"/>
              <w:ind w:left="540"/>
              <w:jc w:val="both"/>
            </w:pPr>
            <w:r>
              <w:rPr>
                <w:sz w:val="20"/>
              </w:rPr>
              <w:t xml:space="preserve">Апелляционное </w:t>
            </w:r>
            <w:r>
              <w:rPr>
                <w:sz w:val="20"/>
              </w:rPr>
              <w:t xml:space="preserve">определение</w:t>
            </w:r>
            <w:r>
              <w:rPr>
                <w:sz w:val="20"/>
              </w:rPr>
              <w:t xml:space="preserve"> Московского городского суда от 22.08.2019 по делу N 33-28285/2019</w:t>
            </w:r>
          </w:p>
        </w:tc>
      </w:tr>
    </w:tbl>
    <w:p>
      <w:pPr>
        <w:pStyle w:val="0"/>
        <w:spacing w:before="200" w:line-rule="auto"/>
        <w:ind w:firstLine="-227" w:left="540"/>
        <w:jc w:val="both"/>
        <w:numPr>
          <w:ilvl w:val="0"/>
          <w:numId w:val="9"/>
        </w:numPr>
      </w:pPr>
      <w:r>
        <w:rPr>
          <w:sz w:val="20"/>
        </w:rPr>
        <w:t xml:space="preserve">Страховщиком пропущен срок исковой давности</w:t>
      </w:r>
    </w:p>
    <w:p>
      <w:pPr>
        <w:spacing w:before="0"/>
        <w:spacing w:after="1"/>
      </w:pPr>
    </w:p>
    <w:tbl>
      <w:tblPr>
        <w:jc w:val="center"/>
        <w:tblInd w:w="0" w:type="dxa"/>
        <w:tblW w:w="10597" w:type="dxa"/>
        <w:tblBorders>
          <w:top w:val="single" w:sz="6"/>
          <w:left w:val="single" w:sz="6"/>
          <w:bottom w:val="single" w:sz="6"/>
          <w:right w:val="single" w:sz="6"/>
          <w:insideV w:val="single" w:sz="6"/>
          <w:insideH w:val="single" w:sz="6"/>
        </w:tblBorders>
      </w:tblPr>
      <w:tblGrid>
        <w:gridCol w:w="10597"/>
      </w:tblGrid>
      <w:tr>
        <w:tc>
          <w:tcPr>
            <w:tcW w:w="10597" w:type="dxa"/>
            <w:tcMar>
              <w:top w:w="195" w:type="dxa"/>
              <w:left w:w="195" w:type="dxa"/>
              <w:bottom w:w="195" w:type="dxa"/>
              <w:right w:w="195" w:type="dxa"/>
            </w:tcMar>
            <w:shd w:val="clear"/>
            <w:tcBorders>
              <w:top w:val="single" w:sz="6"/>
              <w:left w:val="single" w:sz="6"/>
              <w:bottom w:val="single" w:sz="6"/>
              <w:right w:val="single" w:sz="6"/>
            </w:tcBorders>
          </w:tcPr>
          <w:bookmarkStart w:id="74" w:name="P74"/>
          <w:bookmarkEnd w:id="74"/>
          <w:p>
            <w:pPr>
              <w:pStyle w:val="0"/>
              <w:ind w:left="540"/>
              <w:jc w:val="both"/>
            </w:pPr>
            <w:r>
              <w:rPr>
                <w:sz w:val="20"/>
                <w:u w:val="single"/>
              </w:rPr>
              <w:t xml:space="preserve">Судебная практика в пользу Причинителя вреда</w:t>
            </w:r>
          </w:p>
          <w:p>
            <w:pPr>
              <w:pStyle w:val="0"/>
              <w:spacing w:before="200" w:line-rule="auto"/>
              <w:ind w:left="540"/>
              <w:jc w:val="both"/>
            </w:pPr>
            <w:r>
              <w:rPr>
                <w:sz w:val="20"/>
              </w:rPr>
              <w:t xml:space="preserve">Апелляционное </w:t>
            </w:r>
            <w:r>
              <w:rPr>
                <w:sz w:val="20"/>
              </w:rPr>
              <w:t xml:space="preserve">определение</w:t>
            </w:r>
            <w:r>
              <w:rPr>
                <w:sz w:val="20"/>
              </w:rPr>
              <w:t xml:space="preserve"> Санкт-Петербургского городского суда от 06.12.2018 N 33-21862/2018 по делу N 2-4845/2017</w:t>
            </w:r>
          </w:p>
        </w:tc>
      </w:tr>
    </w:tbl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80"/>
        <w:gridCol w:w="9847"/>
        <w:gridCol w:w="180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e9500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2f4e6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shd w:val="clear" w:fill="f2f4e6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  <w:b w:val="on"/>
              </w:rPr>
              <w:t xml:space="preserve">Следует учитывать:</w:t>
            </w:r>
            <w:r>
              <w:rPr>
                <w:sz w:val="20"/>
              </w:rPr>
              <w:t xml:space="preserve"> Перемена лиц в обязательстве по требованиям, которые Страховщик в порядке суброгации имеет к лицу, ответственному за убытки, не влечет изменение общего (трехгодичного) срока исковой давности, установленного для взыскания убытков, и порядка его исчисления. При этом срок исковой давности для Страховщика, выплатившего страховое возмещение, должен исчисляться с момента наступления страхового случая (</w:t>
            </w:r>
            <w:r>
              <w:rPr>
                <w:sz w:val="20"/>
              </w:rPr>
              <w:t xml:space="preserve">п. 10</w:t>
            </w:r>
            <w:r>
              <w:rPr>
                <w:sz w:val="20"/>
              </w:rPr>
              <w:t xml:space="preserve"> Постановления Пленума ВС РФ от 27.06.2013 N 20).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2f4e6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80"/>
        <w:gridCol w:w="420"/>
        <w:gridCol w:w="9427"/>
        <w:gridCol w:w="180"/>
      </w:tblGrid>
      <w:tr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420" w:type="dxa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r>
              <w:drawing>
                <wp:inline distT="0" distB="0" distL="0" distR="0">
                  <wp:extent cx="152400" cy="1524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См. также:</w:t>
            </w:r>
          </w:p>
          <w:p>
            <w:pPr>
              <w:pStyle w:val="0"/>
              <w:ind w:firstLine="-227" w:left="540"/>
              <w:jc w:val="both"/>
              <w:numPr>
                <w:ilvl w:val="0"/>
                <w:numId w:val="10"/>
              </w:numPr>
            </w:pPr>
            <w:r>
              <w:rPr>
                <w:sz w:val="20"/>
              </w:rPr>
              <w:t xml:space="preserve">Исковое заявление в суд общей юрисдикции о возмещении убытков в порядке суброгации</w:t>
            </w:r>
          </w:p>
          <w:p>
            <w:pPr>
              <w:pStyle w:val="0"/>
              <w:ind w:firstLine="-227" w:left="540"/>
              <w:jc w:val="both"/>
              <w:numPr>
                <w:ilvl w:val="0"/>
                <w:numId w:val="10"/>
              </w:numPr>
            </w:pPr>
            <w:r>
              <w:rPr>
                <w:sz w:val="20"/>
              </w:rPr>
              <w:t xml:space="preserve">Как возместить убытки</w:t>
            </w:r>
          </w:p>
          <w:p>
            <w:pPr>
              <w:pStyle w:val="0"/>
              <w:ind w:firstLine="-227" w:left="540"/>
              <w:jc w:val="both"/>
              <w:numPr>
                <w:ilvl w:val="0"/>
                <w:numId w:val="10"/>
              </w:numPr>
            </w:pPr>
            <w:r>
              <w:rPr>
                <w:sz w:val="20"/>
              </w:rPr>
              <w:t xml:space="preserve">Требование (претензия) страховщика о взыскании убытков в порядке суброгации</w:t>
            </w:r>
          </w:p>
          <w:p>
            <w:pPr>
              <w:pStyle w:val="0"/>
              <w:ind w:firstLine="-227" w:left="540"/>
              <w:jc w:val="both"/>
              <w:numPr>
                <w:ilvl w:val="0"/>
                <w:numId w:val="10"/>
              </w:numPr>
            </w:pPr>
            <w:r>
              <w:rPr>
                <w:sz w:val="20"/>
              </w:rPr>
              <w:t xml:space="preserve">Сроки исковой давности и последствия их пропуска</w:t>
            </w:r>
          </w:p>
          <w:p>
            <w:pPr>
              <w:pStyle w:val="0"/>
              <w:ind w:firstLine="-227" w:left="540"/>
              <w:jc w:val="both"/>
              <w:numPr>
                <w:ilvl w:val="0"/>
                <w:numId w:val="10"/>
              </w:numPr>
            </w:pPr>
            <w:r>
              <w:rPr>
                <w:sz w:val="20"/>
              </w:rPr>
              <w:t xml:space="preserve">Как подать исковое заявление в мировой или районный суд общей юрисдикции</w:t>
            </w:r>
          </w:p>
          <w:p>
            <w:pPr>
              <w:pStyle w:val="0"/>
              <w:ind w:firstLine="-227" w:left="540"/>
              <w:jc w:val="both"/>
              <w:numPr>
                <w:ilvl w:val="0"/>
                <w:numId w:val="10"/>
              </w:numPr>
            </w:pPr>
            <w:r>
              <w:rPr>
                <w:sz w:val="20"/>
              </w:rPr>
              <w:t xml:space="preserve">Возражения на исковое заявление (образец заполнения)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16"/>
        </w:rPr>
      </w:r>
    </w:p>
    <w:sectPr>
      <w:headerReference w:type="default" r:id="rId3"/>
      <w:headerReference w:type="first" r:id="rId3"/>
      <w:footerReference w:type="default" r:id="rId4"/>
      <w:footerReference w:type="first" r:id="rId4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Перспективы и риски спора в суде общей юрисдикции: Добровольное имущественное страхование транспортных средств и спецтехники: Страховщик хочет взыскать убытки с Причинителя вреда, застрахованного по ОСАГО, в связи с недостаточным размером выплаты, полученной от его страховщика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25.05.2023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1" w15:restartNumberingAfterBreak="0">
    <w:multiLevelType w:val="multilevel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</w:abstractNum>
  <w:abstractNum w:abstractNumId="2" w15:restartNumberingAfterBreak="0">
    <w:multiLevelType w:val="multilevel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</w:abstractNum>
  <w:abstractNum w:abstractNumId="3" w15:restartNumberingAfterBreak="0">
    <w:multiLevelType w:val="multilevel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</w:abstractNum>
  <w:abstractNum w:abstractNumId="4" w15:restartNumberingAfterBreak="0">
    <w:multiLevelType w:val="multilevel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</w:abstractNum>
  <w:abstractNum w:abstractNumId="5" w15:restartNumberingAfterBreak="0">
    <w:multiLevelType w:val="multilevel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</w:abstractNum>
  <w:abstractNum w:abstractNumId="6" w15:restartNumberingAfterBreak="0">
    <w:multiLevelType w:val="multilevel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</w:abstractNum>
  <w:abstractNum w:abstractNumId="7" w15:restartNumberingAfterBreak="0">
    <w:multiLevelType w:val="multilevel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</w:abstractNum>
  <w:abstractNum w:abstractNumId="8" w15:restartNumberingAfterBreak="0">
    <w:multiLevelType w:val="multilevel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</w:abstractNum>
  <w:abstractNum w:abstractNumId="9" w15:restartNumberingAfterBreak="0">
    <w:multiLevelType w:val="multilevel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</w:abstractNum>
  <w:abstractNum w:abstractNumId="10" w15:restartNumberingAfterBreak="0">
    <w:multiLevelType w:val="multilevel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  <w:num w:numId="4">
    <w:abstractNumId w:val="4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6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8"/>
    <w:lvlOverride w:ilvl="0">
      <w:startOverride w:val="1"/>
    </w:lvlOverride>
  </w:num>
  <w:num w:numId="9">
    <w:abstractNumId w:val="9"/>
    <w:lvlOverride w:ilvl="0">
      <w:startOverride w:val="1"/>
    </w:lvlOverride>
  </w:num>
  <w:num w:numId="10">
    <w:abstractNumId w:val="10"/>
    <w:lvlOverride w:ilvl="0">
      <w:startOverride w:val="1"/>
    </w:lvlOverride>
  </w:num>
</w:numbering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numbering" Target="numbering.xml"/>
	<Relationship Id="rId3" Type="http://schemas.openxmlformats.org/officeDocument/2006/relationships/header" Target="header1.xml"/>
	<Relationship Id="rId4" Type="http://schemas.openxmlformats.org/officeDocument/2006/relationships/footer" Target="footer1.xml"/>
	<Relationship Id="rId5" Type="http://schemas.openxmlformats.org/officeDocument/2006/relationships/image" Target="media/image1.png"/>
	<Relationship Id="rId6" Type="http://schemas.openxmlformats.org/officeDocument/2006/relationships/image" Target="media/image2.png"/>
	<Relationship Id="rId7" Type="http://schemas.openxmlformats.org/officeDocument/2006/relationships/image" Target="media/image3.png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4022.00.55</Application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Перспективы и риски спора в суде общей юрисдикции: Добровольное имущественное страхование транспортных средств и спецтехники: Страховщик хочет взыскать убытки с Причинителя вреда, застрахованного по ОСАГО, в связи с недостаточным размером выплаты, полученной от его страховщика
(КонсультантПлюс, 2023)</dc:title>
  <dcterms:created xsi:type="dcterms:W3CDTF">2023-05-25T08:52:02Z</dcterms:created>
</cp:coreProperties>
</file>